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RkZÜVMdJEV (Brandenburg) — Übertragung von Aufgaben</w:t>
      </w:r>
    </w:p>
    <w:p>
      <w:r>
        <w:rPr>
          <w:color w:val="555555"/>
          <w:sz w:val="18"/>
        </w:rPr>
        <w:t xml:space="preserve">Reisekostenzuständigkeitsübertragungsverordnung MdJEV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 des Ministeriums der Justiz und für Europa und Verbraucherschutz für</w:t>
      </w:r>
    </w:p>
    <w:p>
      <w:r>
        <w:t xml:space="preserve">die Berechnung und Zahlung von Reisekosten gemäß § 63 Absatz 1 Satz 1 des Landesbeamtengesetzes,</w:t>
      </w:r>
    </w:p>
    <w:p>
      <w:r>
        <w:t xml:space="preserve">die Berechnung und Zahlung von Umzugskosten gemäß § 63 Absatz 1 Satz 1 des Landesbeamtengesetzes,</w:t>
      </w:r>
    </w:p>
    <w:p>
      <w:r>
        <w:t xml:space="preserve">die Bewilligung, Berechnung und Zahlung von Trennungsgeld gemäß § 63 Absatz 1 Satz 1 des Landesbeamtengesetzes,</w:t>
      </w:r>
    </w:p>
    <w:p>
      <w:r>
        <w:t xml:space="preserve">die Unfallfürsorgeangelegenheiten gemäß Abschnitt 2 Unterabschnitt 3 des Brandenburgischen Beamtenversorgungsgesetzes und</w:t>
      </w:r>
    </w:p>
    <w:p>
      <w:r>
        <w:t xml:space="preserve">den Ersatz von Sachschäden und die Geltendmachung von übergegangenen Schadensersatzansprüchen gegen Dritte gemäß § 66 Absatz 1 und 3 des Landesbeamtengesetzes</w:t>
      </w:r>
    </w:p>
    <w:p>
      <w:r>
        <w:t xml:space="preserve">wird betreffend die Bediensteten des Ministeriums der Justiz und für Europa und Verbraucherschutz, des Gemeinsamen Sekretariats des Kooperationsprogramms INTERREG V/A Brandenburg – Polen 2014 – 2020 in Frankfurt (Oder), die Bediensteten der Justizvollzugsanstalten des Landes Brandenburg sowie die Bediensteten des Zentralen IT-Dienstleisters der Justiz des Landes Brandenburg auf die Zentrale Bezügestelle des Landes Brandenburg übertragen. Die Zentrale Bezügestelle des Landes Brandenburg ist hinsichtlich der Unfallfürsorgeangelegenheiten (Satz 1 Nummer 4) Personalakten führende Stelle im Sinne des § 2 der Beamtenversorgungs-Zuständigkeitsverordnung vom 28. Januar 1997 (GVBl. II S. 53), die durch Artikel 3 der Verordnung vom 10. Mai 2004 (GVBl. II S. 329, 330) geändert worden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RkZÜVMdJEV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https://recht.nulegal.eu/gesetze/RkZ%C3%9CVMdJEV/1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