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RkZÜVMUGV (Brandenburg) — Inkrafttreten</w:t>
      </w:r>
    </w:p>
    <w:p>
      <w:r>
        <w:rPr>
          <w:color w:val="555555"/>
          <w:sz w:val="18"/>
        </w:rPr>
        <w:t xml:space="preserve">Reisekostenzuständigkeitsübertragungsverordnung MUGV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Juli 2011 in Kraft.</w:t>
      </w:r>
    </w:p>
    <w:p>
      <w:r>
        <w:t xml:space="preserve">Potsdam, den 12. September 2011</w:t>
      </w:r>
    </w:p>
    <w:p>
      <w:r>
        <w:t xml:space="preserve">Die Ministerin für Umwelt,</w:t>
      </w:r>
    </w:p>
    <w:p>
      <w:r>
        <w:t xml:space="preserve">Gesundheit und Verbraucherschutz</w:t>
      </w:r>
    </w:p>
    <w:p>
      <w:r>
        <w:t xml:space="preserve">Anita Tack</w:t>
      </w:r>
    </w:p>
    <w:p>
      <w:r>
        <w:rPr>
          <w:color w:val="555555"/>
          <w:sz w:val="17"/>
        </w:rPr>
        <w:t xml:space="preserve">Zitiervorschlag: § 4 RkZÜVMUGV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https://recht.nulegal.eu/gesetze/RkZ%C3%9CVMUGV/4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