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RkZÜVMUGV (Brandenburg) — Übergangsvorschrift</w:t>
      </w:r>
    </w:p>
    <w:p>
      <w:r>
        <w:rPr>
          <w:color w:val="555555"/>
          <w:sz w:val="18"/>
        </w:rPr>
        <w:t xml:space="preserve">Reisekostenzuständigkeitsübertragungsverordnung MUGV</w:t>
      </w:r>
    </w:p>
    <w:p>
      <w:r>
        <w:rPr>
          <w:color w:val="555555"/>
          <w:sz w:val="18"/>
        </w:rPr>
        <w:t xml:space="preserve">Landesrecht Brandenburg</w:t>
      </w:r>
    </w:p>
    <w:p>
      <w:r>
        <w:rPr>
          <w:color w:val="555555"/>
          <w:sz w:val="18"/>
        </w:rPr>
        <w:t xml:space="preserve">Stand: 02.08.2026 (konsolidierte Textfassung, kein amtliches Inkrafttretensdatum)</w:t>
      </w:r>
    </w:p>
    <w:p>
      <w:r>
        <w:t xml:space="preserve">Für Anträge auf Bewilligung, Berechnung und Zahlung von Trennungsgeld und die Berechnung und Zahlung von Reisekosten, die vor dem jeweiligen Inkrafttreten dieser Verordnung eingegangen sind und über die noch nicht abschließend entschieden worden ist, verbleibt es bei der Zuständigkeit der bisher zuständigen Stelle. Dies gilt auch für die Vertretung in zu diesem Zeitpunkt bereits anhängigen Rechtsstreitigkeiten.</w:t>
      </w:r>
    </w:p>
    <w:p>
      <w:r>
        <w:rPr>
          <w:color w:val="555555"/>
          <w:sz w:val="17"/>
        </w:rPr>
        <w:t xml:space="preserve">Zitiervorschlag: § 3 RkZÜVMUGV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https://recht.nulegal.eu/gesetze/RkZ%C3%9CVMUGV/3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