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RkZÜVMUGV (Brandenburg) — Vertretung bei Klagen</w:t>
      </w:r>
    </w:p>
    <w:p>
      <w:r>
        <w:rPr>
          <w:color w:val="555555"/>
          <w:sz w:val="18"/>
        </w:rPr>
        <w:t xml:space="preserve">Reisekostenzuständigkeitsübertragungsverordnung MUGV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Im Rahmen der Übertragung der Zuständigkeit nach § 1 wird die Zentrale Bezügestelle des Landes Brandenburg ermächtigt, das Ministerium für Umwelt, Gesundheit und Verbraucherschutz in verwaltungs- und arbeitsrechtlichen Streitigkeiten zu vertreten. Dies gilt auch für Anträge in einstweiligen Rechtsschutzverfahren.</w:t>
      </w:r>
    </w:p>
    <w:p>
      <w:r>
        <w:rPr>
          <w:color w:val="555555"/>
          <w:sz w:val="17"/>
        </w:rPr>
        <w:t xml:space="preserve">Zitiervorschlag: § 2 RkZÜVMUGV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https://recht.nulegal.eu/gesetze/RkZ%C3%9CVMUGV/2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