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RkZÜVMUGV (Brandenburg) — Übertragung von Aufgaben</w:t>
      </w:r>
    </w:p>
    <w:p>
      <w:r>
        <w:rPr>
          <w:color w:val="555555"/>
          <w:sz w:val="18"/>
        </w:rPr>
        <w:t xml:space="preserve">Reisekostenzuständigkeitsübertragungsverordnung MUGV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Zuständigkeit des Ministeriums für Umwelt, Gesundheit und Verbraucherschutz für die Berechnung und Zahlung von Reisekosten im Sinne des § 63 Absatz 1 Satz 1 des Landesbeamtengesetzes wird für den gesamten Geschäftsbereich auf die Zentrale Bezügestelle des Landes Brandenburg übertragen.</w:t>
      </w:r>
    </w:p>
    <w:p>
      <w:r>
        <w:t xml:space="preserve">(2) Ebenso wird die Zuständigkeit für die Bewilligung, Berechnung und Zahlung von Trennungsgeld nach § 9 Absatz 3 der Trennungsgeldverordnung auch im Falle von Abordnungen im Rahmen der Aus- oder Fortbildung auf die Zentrale Bezügestelle des Landes Brandenburg übertragen.</w:t>
      </w:r>
    </w:p>
    <w:p>
      <w:r>
        <w:rPr>
          <w:color w:val="555555"/>
          <w:sz w:val="17"/>
        </w:rPr>
        <w:t xml:space="preserve">Zitiervorschlag: § 1 RkZÜVMUGV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https://recht.nulegal.eu/gesetze/RkZ%C3%9CVMUGV/1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