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RkZÜVMASGF (Brandenburg) — Inkrafttreten</w:t>
      </w:r>
    </w:p>
    <w:p>
      <w:r>
        <w:rPr>
          <w:color w:val="555555"/>
          <w:sz w:val="18"/>
        </w:rPr>
        <w:t xml:space="preserve">Reisekostenzuständigkeitsübertragungsverordnung MASGF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in Bezug</w:t>
      </w:r>
    </w:p>
    <w:p>
      <w:r>
        <w:t xml:space="preserve">auf das Ministerium für Arbeit, Soziales, Gesundheit, Frauen und Familie am Tag nach der Verkündung,</w:t>
      </w:r>
    </w:p>
    <w:p>
      <w:r>
        <w:t xml:space="preserve">auf das Landesamt für Soziales und Versorgung am 1. Juni 2010 sowie</w:t>
      </w:r>
    </w:p>
    <w:p>
      <w:r>
        <w:t xml:space="preserve">auf das Landesamt für Arbeitsschutz, Verbraucherschutz und Gesundheit am 1. August 2010</w:t>
      </w:r>
    </w:p>
    <w:p>
      <w:r>
        <w:t xml:space="preserve">in Kraft.</w:t>
      </w:r>
    </w:p>
    <w:p>
      <w:r>
        <w:t xml:space="preserve">Potsdam, den 26. März 2010</w:t>
      </w:r>
    </w:p>
    <w:p>
      <w:r>
        <w:t xml:space="preserve">Der Minister für Arbeit,</w:t>
      </w:r>
    </w:p>
    <w:p>
      <w:r>
        <w:t xml:space="preserve">Soziales, Frauen und Familie</w:t>
      </w:r>
    </w:p>
    <w:p>
      <w:r>
        <w:t xml:space="preserve">Günter Baaske</w:t>
      </w:r>
    </w:p>
    <w:p>
      <w:r>
        <w:rPr>
          <w:color w:val="555555"/>
          <w:sz w:val="17"/>
        </w:rPr>
        <w:t xml:space="preserve">Zitiervorschlag: § 4 RkZÜVMASGF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https://recht.nulegal.eu/gesetze/RkZ%C3%9CVMASGF/4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