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RkZÜVLRH (Brandenburg) — Inkrafttreten</w:t>
      </w:r>
    </w:p>
    <w:p>
      <w:r>
        <w:rPr>
          <w:color w:val="555555"/>
          <w:sz w:val="18"/>
        </w:rPr>
        <w:t xml:space="preserve">Reisekostenzuständigkeitsübertragungsverordnung LRH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Einzelnorm</w:t>
      </w:r>
    </w:p>
    <w:p>
      <w:r>
        <w:t xml:space="preserve">Potsdam, den 20. November 2017</w:t>
      </w:r>
    </w:p>
    <w:p>
      <w:r>
        <w:t xml:space="preserve">Der Präsident des Landesrechnungshofs Brandenburg</w:t>
      </w:r>
    </w:p>
    <w:p>
      <w:r>
        <w:t xml:space="preserve">Christoph Weiser</w:t>
      </w:r>
    </w:p>
    <w:p>
      <w:r>
        <w:rPr>
          <w:color w:val="555555"/>
          <w:sz w:val="17"/>
        </w:rPr>
        <w:t xml:space="preserve">Zitiervorschlag: § 4 RkZÜVLRH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https://recht.nulegal.eu/gesetze/RkZ%C3%9CVLRH/4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