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RkTrZÜVMP (Brandenburg) — Inkrafttreten</w:t>
      </w:r>
    </w:p>
    <w:p>
      <w:r>
        <w:rPr>
          <w:color w:val="555555"/>
          <w:sz w:val="18"/>
        </w:rPr>
        <w:t xml:space="preserve">Reisekosten-Trennungsgeldzuständigkeitsübertragungsverordnung MP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01. Januar 2013 in Kraft.</w:t>
      </w:r>
    </w:p>
    <w:p>
      <w:r>
        <w:t xml:space="preserve">Potsdam, den 04. Dezember 2012</w:t>
      </w:r>
    </w:p>
    <w:p>
      <w:r>
        <w:t xml:space="preserve">Der Ministerpräsident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4 RkTrZÜVMP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https://recht.nulegal.eu/gesetze/RkTrZ%C3%9CVMP/4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