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RkTrZÜVMP (Brandenburg) — Vertretung bei Klagen</w:t>
      </w:r>
    </w:p>
    <w:p>
      <w:r>
        <w:rPr>
          <w:color w:val="555555"/>
          <w:sz w:val="18"/>
        </w:rPr>
        <w:t xml:space="preserve">Reisekosten-Trennungsgeldzuständigkeitsübertragungsverordnung MP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Rahmen der Übertragung der Zuständigkeit nach § 1 wird die Zentrale Bezügestelle des Landes Brandenburg ermächtigt, den Geschäftsbereich des Ministerpräsidenten in verwaltungs- und arbeitsgerichtlichen Streitigkeiten zu vertreten. Dies gilt auch für Anträge in einstweiligen Rechtsschutzverfahren.</w:t>
      </w:r>
    </w:p>
    <w:p>
      <w:r>
        <w:rPr>
          <w:color w:val="555555"/>
          <w:sz w:val="17"/>
        </w:rPr>
        <w:t xml:space="preserve">Zitiervorschlag: § 2 RkTrZÜVMP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https://recht.nulegal.eu/gesetze/RkTrZ%C3%9CVMP/2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