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RkTrZÜVLT (Brandenburg) — Inkrafttreten</w:t>
      </w:r>
    </w:p>
    <w:p>
      <w:r>
        <w:rPr>
          <w:color w:val="555555"/>
          <w:sz w:val="18"/>
        </w:rPr>
        <w:t xml:space="preserve">Reisekosten-Trennungsgeldzuständigkeitsübertragungsverordnung Landtag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1. März 2014 in Kraft.</w:t>
      </w:r>
    </w:p>
    <w:p>
      <w:r>
        <w:t xml:space="preserve">Potsdam, den 18. Februar 2014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rPr>
          <w:color w:val="555555"/>
          <w:sz w:val="17"/>
        </w:rPr>
        <w:t xml:space="preserve">Zitiervorschlag: § 4 RkTrZÜVLT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https://recht.nulegal.eu/gesetze/RkTrZ%C3%9CVLT/4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