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RkTrZÜVLT (Brandenburg) — Vertretung bei Klagen</w:t>
      </w:r>
    </w:p>
    <w:p>
      <w:r>
        <w:rPr>
          <w:color w:val="555555"/>
          <w:sz w:val="18"/>
        </w:rPr>
        <w:t xml:space="preserve">Reisekosten-Trennungsgeldzuständigkeitsübertragungsverordnung Landtag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Rahmen der Übertragung der Zuständigkeit nach § 1 wird die Zentrale Bezügestelle des Landes Brandenburg ermächtigt, den Präsidenten des Landtages und die Beauftragte des Landes Brandenburg zur Aufarbeitung der Folgen der kommunistischen Diktatur in verwaltungs- und arbeitsgerichtlichen Streitigkeiten zu vertreten. Dies gilt auch für Anträge in einstweiligen Rechtsschutzverfahren.</w:t>
      </w:r>
    </w:p>
    <w:p>
      <w:r>
        <w:rPr>
          <w:color w:val="555555"/>
          <w:sz w:val="17"/>
        </w:rPr>
        <w:t xml:space="preserve">Zitiervorschlag: § 2 RkTrZÜVLT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https://recht.nulegal.eu/gesetze/RkTrZ%C3%9CVLT/2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