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RindZLpV</w:t>
      </w:r>
    </w:p>
    <w:p>
      <w:r>
        <w:rPr>
          <w:color w:val="555555"/>
          <w:sz w:val="18"/>
        </w:rPr>
        <w:t xml:space="preserve">Verordnung über die Leistungsprüfungen und die Zuchtwertfeststellung bei Rindern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Die für die Erteilung der Besamungserlaubnis zuständige Behörde veröffentlicht bei Bullen, die zur künstlichen Besamung eingesetzt werden, das Ergebnis der nach § 1 Abs. 1 Satz 5 durchgeführten Untersuchungen.</w:t>
      </w:r>
    </w:p>
    <w:p>
      <w:r>
        <w:rPr>
          <w:color w:val="555555"/>
          <w:sz w:val="17"/>
        </w:rPr>
        <w:t xml:space="preserve">Zitiervorschlag: § 1a RindZLpV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https://recht.nulegal.eu/gesetze/RindZLpV/1a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