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RindTbV</w:t>
      </w:r>
    </w:p>
    <w:p>
      <w:r>
        <w:rPr>
          <w:color w:val="555555"/>
          <w:sz w:val="18"/>
        </w:rPr>
        <w:t xml:space="preserve">Tuberkulose-Verordnung</w:t>
      </w:r>
    </w:p>
    <w:p>
      <w:r>
        <w:rPr>
          <w:color w:val="555555"/>
          <w:sz w:val="18"/>
        </w:rPr>
        <w:t xml:space="preserve">Stand: 10.06.2019 (konsolidierte Textfassung, kein amtliches Inkrafttretensdatum)</w:t>
      </w:r>
    </w:p>
    <w:p>
      <w:r>
        <w:t xml:space="preserve">Die zuständige Behörde ordnet die Tötung von Rindern an, bei denen Tuberkulose festgestellt worden ist. Sie kann die Tötung verdächtiger Rinder anordnen, soweit dies zur Verhütung der Verbreitung der Tuberkulose erforderlich ist.</w:t>
      </w:r>
    </w:p>
    <w:p>
      <w:r>
        <w:rPr>
          <w:color w:val="555555"/>
          <w:sz w:val="17"/>
        </w:rPr>
        <w:t xml:space="preserve">Zitiervorschlag: § 7 RindTbV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https://recht.nulegal.eu/gesetze/RindTbV/7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