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das Ergebnis der Tuberkulinprobe bei einem Rind positiv im Sinne der Nummer 2.2.5.3.1 Buchstabe a oder der Nummer 2.2.5.3.2 Buchstabe a des Anhangs B der Richtlinie 64/432/EWG, das Ergebnis der erneuten Tuberkulinprobe nach § 4 Satz 1 Nummer 1 Buchstabe b zweifelhaft im Sinne der Nummer 2.2.5.3.1 Buchstabe b oder Nummer 2.2.5.3.2 Buchstabe b des Anhangs B der Richtlinie 64/432/EWG oder das Ergebnis des Interferon-Gamma-Freisetzungstests positiv, so sind</w:t>
      </w:r>
    </w:p>
    <w:p>
      <w:pPr>
        <w:ind w:left="420"/>
      </w:pPr>
      <w:r>
        <w:t xml:space="preserve">1. das betroffene Rind zu töten, pathologisch-anatomisch zu untersuchen und</w:t>
      </w:r>
    </w:p>
    <w:p>
      <w:pPr>
        <w:ind w:left="780"/>
      </w:pPr>
      <w:r>
        <w:t xml:space="preserve">a) die Organe mit pathologisch-anatomischen Veränderungen, die auf Tuberkulose hindeuten und die jeweils diesen Organen zugehörigen Lymphknoten und</w:t>
      </w:r>
    </w:p>
    <w:p>
      <w:pPr>
        <w:ind w:left="780"/>
      </w:pPr>
      <w:r>
        <w:t xml:space="preserve">b) Teile der Lunge, die Tonsillen und die Retropharyngeal-, Lungen-, Darm-, Leber-, Nieren- und Euterlymphknoten, soweit sie keine Veränderungen aufweisen,</w:t>
      </w:r>
    </w:p>
    <w:p>
      <w:pPr>
        <w:ind w:left="420"/>
      </w:pPr>
      <w:r>
        <w:t xml:space="preserve">zu entnehmen, mittels Nukleinsäureamplifikationstechnik molekularbiologisch auf Tuberkulose zu untersuchen und für mögliche weitergehende Untersuchungen aufzubewahren und</w:t>
      </w:r>
    </w:p>
    <w:p>
      <w:pPr>
        <w:ind w:left="420"/>
      </w:pPr>
      <w:r>
        <w:t xml:space="preserve">2. alle über sechs Wochen alten, noch nicht mittels Tuberkulinprobe untersuchten Rinder des Bestandes mittels Tuberkulinprobe zu untersuchen.</w:t>
      </w:r>
    </w:p>
    <w:p>
      <w:r>
        <w:t xml:space="preserve">§ 4 Satz 3 gilt entsprechend.</w:t>
      </w:r>
    </w:p>
    <w:p>
      <w:r>
        <w:rPr>
          <w:color w:val="555555"/>
          <w:sz w:val="17"/>
        </w:rPr>
        <w:t xml:space="preserve">Zitiervorschlag: § 4a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