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RindTbV</w:t>
      </w:r>
    </w:p>
    <w:p>
      <w:r>
        <w:rPr>
          <w:color w:val="555555"/>
          <w:sz w:val="18"/>
        </w:rPr>
        <w:t xml:space="preserve">Tuberkulose-Verordnung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Halter eines Rinderbestandes hat dafür zu sorgen, dass die Rinder seines Bestandes</w:t>
      </w:r>
    </w:p>
    <w:p>
      <w:pPr>
        <w:ind w:left="420"/>
      </w:pPr>
      <w:r>
        <w:t xml:space="preserve">1. nicht mit Personen, die an ansteckender Tuberkulose leiden, und</w:t>
      </w:r>
    </w:p>
    <w:p>
      <w:pPr>
        <w:ind w:left="420"/>
      </w:pPr>
      <w:r>
        <w:t xml:space="preserve">2. nicht mit tuberkulosekranken und verdächtigen Haustieren anderer Besitzer</w:t>
      </w:r>
    </w:p>
    <w:p>
      <w:r>
        <w:t xml:space="preserve">in Berührung kommen.</w:t>
      </w:r>
    </w:p>
    <w:p>
      <w:r>
        <w:rPr>
          <w:color w:val="555555"/>
          <w:sz w:val="17"/>
        </w:rPr>
        <w:t xml:space="preserve">Zitiervorschlag: § 15 RindTbV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https://recht.nulegal.eu/gesetze/RindTbV/15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