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RindSalmV — (Inkrafttreten)</w:t>
      </w:r>
    </w:p>
    <w:p>
      <w:r>
        <w:rPr>
          <w:color w:val="555555"/>
          <w:sz w:val="18"/>
        </w:rPr>
        <w:t xml:space="preserve">Rinder-Salmonellose-Verordnung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RindSalmV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https://recht.nulegal.eu/gesetze/RindSalmV/9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