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RindSalmV</w:t>
      </w:r>
    </w:p>
    <w:p>
      <w:r>
        <w:rPr>
          <w:color w:val="555555"/>
          <w:sz w:val="18"/>
        </w:rPr>
        <w:t xml:space="preserve">Rinder-Salmonellose-Verordnung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Die zuständige Behörde kann die Tötung von Rindern und sonstigen mit Rindern zusammen gehaltenen Tieren anordnen, bei denen Salmonellose festgestellt ist oder bei denen Verdacht auf Salmonellose vorliegt.</w:t>
      </w:r>
    </w:p>
    <w:p>
      <w:r>
        <w:rPr>
          <w:color w:val="555555"/>
          <w:sz w:val="17"/>
        </w:rPr>
        <w:t xml:space="preserve">Zitiervorschlag: § 5 RindSalmV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https://recht.nulegal.eu/gesetze/RindSalmV/5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