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RindHKlV — Gesetzliche Handelsklassen und Kategorien für Rinderschlachtkörper</w:t>
      </w:r>
    </w:p>
    <w:p>
      <w:r>
        <w:rPr>
          <w:color w:val="555555"/>
          <w:sz w:val="18"/>
        </w:rPr>
        <w:t xml:space="preserve">Rinderschlachtkörper-Handelsklassenverordnung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(1) Für ganze, halbe und viertel Schlachtkörper von Rindern gelten die in Anhang IV Teil A und Anhang VII Teil I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671; L 189 vom 27.6.2014, S. 261; L 130 vom 19.5.2016, S. 18; L 34 vom 9.2.2017, S. 41; L 106 vom 6.4.2020, S. 12), die zuletzt durch die Verordnung (EU) 2020/2220 (ABl. L 437 vom 28.12.2020, S. 1) geändert worden ist, bezeichneten Handelsklassen und Kategorien mit Ausnahme der Fleischigkeitsklasse S. Die Fleischigkeits- und Fettgewebeklassen sind entsprechend der Anlage in die dort bezeichneten Untergruppen zu unterteilen.</w:t>
      </w:r>
    </w:p>
    <w:p>
      <w:r>
        <w:t xml:space="preserve">(2) Rinder im Sinne des Absatzes 1 sind Rinder, die zum Schlachtzeitpunkt jünger als acht Monate alt waren sowie solche, die zum Schlachtzeitpunkt mindestens acht Monate alt waren.</w:t>
      </w:r>
    </w:p>
    <w:p>
      <w:r>
        <w:rPr>
          <w:color w:val="555555"/>
          <w:sz w:val="17"/>
        </w:rPr>
        <w:t xml:space="preserve">Zitiervorschlag: § 1 RindHKlV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https://recht.nulegal.eu/gesetze/RindHKlV/1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RindHKlV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