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RiWO (Brandenburg) — Wahlvorschläge</w:t>
      </w:r>
    </w:p>
    <w:p>
      <w:r>
        <w:rPr>
          <w:color w:val="555555"/>
          <w:sz w:val="18"/>
        </w:rPr>
        <w:t xml:space="preserve">Wahlordnung zum Brandenburgischen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Vorgeschlagenen sind mit Vornamen, Familiennamen, Geburtsdatum und Amtsbezeichnung aufzuführen. Ihre schriftliche Zustimmung zur Aufnahme in den Wahlvorschlag ist beizufügen. Die Zustimmung kann nicht widerrufen werden.</w:t>
      </w:r>
    </w:p>
    <w:p>
      <w:r>
        <w:t xml:space="preserve">(2) Nach Einreichung des Wahlvorschlages kann eine darauf geleistete Unterschrift nicht mehr zurückgenommen werden.</w:t>
      </w:r>
    </w:p>
    <w:p>
      <w:r>
        <w:t xml:space="preserve">(3) Die Wahlvorschläge sind innerhalb von 18 Kalendertagen nach dem Erlass des Wahlausschreibens beim Wahlvorstand einzureichen.</w:t>
      </w:r>
    </w:p>
    <w:p>
      <w:r>
        <w:rPr>
          <w:color w:val="555555"/>
          <w:sz w:val="17"/>
        </w:rPr>
        <w:t xml:space="preserve">Zitiervorschlag: § 6 RiWO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https://recht.nulegal.eu/gesetze/RiWO/6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