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RiWO (Brandenburg) — Inkrafttreten, Außerkrafttreten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Richterwahlausschuss-Vorschlagsverordnung vom 16. Juni 1993 ( GVBl. II S. 264) außer Kraft.</w:t>
      </w:r>
    </w:p>
    <w:p>
      <w:r>
        <w:t xml:space="preserve">Potsdam, den 22. September 2011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der Justiz</w:t>
      </w:r>
    </w:p>
    <w:p>
      <w:r>
        <w:t xml:space="preserve">Dr. Volkmar Schöneburg</w:t>
      </w:r>
    </w:p>
    <w:p>
      <w:r>
        <w:rPr>
          <w:color w:val="555555"/>
          <w:sz w:val="17"/>
        </w:rPr>
        <w:t xml:space="preserve">Zitiervorschlag: § 54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