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RiWO (Brandenburg) — Übergangsvorschrift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Hinsichtlich der Wahl zu der Vorschlagsliste für die Wahl eines nichtständigen Mitglieds aus der Staatsanwaltschaft (§ 101 Satz 2 des Brandenburgischen Richtergesetzes) gilt § 23 Absatz 1 mit der Maßgabe, dass die Wahlvorstände spätestens zwei Wochen nach Inkrafttreten dieser Verordnung zu bilden sind. Die Bestimmung des Wahltags obliegt dem Gesamtwahlvorstand.</w:t>
      </w:r>
    </w:p>
    <w:p>
      <w:r>
        <w:t xml:space="preserve">(2) Hinsichtlich der Wahlen der Richter- und Staatsanwaltsvertretungen im Jahr des Inkrafttretens des Brandenburgischen Richtergesetzes vom 12. Juli 2011 (GVBl. I Nr. 18) gilt diese Verordnung mit der Maßgabe, dass die Frist nach § 5 Absatz 1 Satz 1 fünf Wochen beträgt und abweichend von § 34 Absatz 1 der Wahlvorstand spätestens zwei Wochen nach Inkrafttreten dieser Verordnung zu bilden ist.</w:t>
      </w:r>
    </w:p>
    <w:p>
      <w:r>
        <w:rPr>
          <w:color w:val="555555"/>
          <w:sz w:val="17"/>
        </w:rPr>
        <w:t xml:space="preserve">Zitiervorschlag: § 53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