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RiWO (Brandenburg) — Wahlausschreiben</w:t>
      </w:r>
    </w:p>
    <w:p>
      <w:r>
        <w:rPr>
          <w:color w:val="555555"/>
          <w:sz w:val="18"/>
        </w:rPr>
        <w:t xml:space="preserve">Wahlordnung zum Brandenburgischen Richtergesetz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Gesamtwahlvorstand erlässt das Wahlausschreiben. Das Wahlausschreiben muss die Angaben nach § 5 Absatz 1 Satz 3 Nummer 1 bis 10 enthalten; der örtliche Wahlvorstand ergänzt das Wahlausschreiben durch die Angaben nach § 5 Absatz 1 Satz 3 Nummer 11 bis 15.</w:t>
      </w:r>
    </w:p>
    <w:p>
      <w:r>
        <w:t xml:space="preserve">(2) Der örtliche Wahlvorstand macht das Wahlausschreiben in der Dienststelle bis zum Abschluss der Stimmabgabe öffentlich zugänglich.</w:t>
      </w:r>
    </w:p>
    <w:p>
      <w:r>
        <w:rPr>
          <w:color w:val="555555"/>
          <w:sz w:val="17"/>
        </w:rPr>
        <w:t xml:space="preserve">Zitiervorschlag: § 49 RiWO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https://recht.nulegal.eu/gesetze/RiWO/49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