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RiWO (Brandenburg) — Wahlvorstand, Wahltag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Wahl der Gesamtrichterräte und des Gesamtstaatsanwaltsrates führt der jeweilige Gesamtwahlvorstand durch.</w:t>
      </w:r>
    </w:p>
    <w:p>
      <w:r>
        <w:t xml:space="preserve">(2) Der bei dem Brandenburgischen Oberlandesgericht gebildete Gesamtwahlvorstand bestimmt den Wahltag für die regelmäßig durchzuführenden Wahlen der Richtervertretungen (§ 28 Absatz 2 des Brandenburgischen Richtergesetzes) im Benehmen mit den übrigen Gesamtwahlvorständen.</w:t>
      </w:r>
    </w:p>
    <w:p>
      <w:r>
        <w:rPr>
          <w:color w:val="555555"/>
          <w:sz w:val="17"/>
        </w:rPr>
        <w:t xml:space="preserve">Zitiervorschlag: § 45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