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RiWO (Brandenburg) — Wahl eines Richter- oder Staatsanwaltsrates, der aus einem Mitglied besteht (Personen- und Mehrheitswahl)</w:t>
      </w:r>
    </w:p>
    <w:p>
      <w:r>
        <w:rPr>
          <w:color w:val="555555"/>
          <w:sz w:val="18"/>
        </w:rPr>
        <w:t xml:space="preserve">Wahlordnung zum Brandenburgischen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Nach den Grundsätzen der Personen- und Mehrheitswahl ist zu wählen, wenn nur ein Mitglied des Richter- oder Staatsanwaltsrates zu wählen ist.</w:t>
      </w:r>
    </w:p>
    <w:p>
      <w:r>
        <w:t xml:space="preserve">(2) Auf dem Stimmzettel werden die Bewerberinnen und Bewerber aus den Wahlvorschlägen in alphabetischer Reihenfolge unter Angabe des Familiennamens, des Vornamens und der Amtsbezeichnung aufgeführt.</w:t>
      </w:r>
    </w:p>
    <w:p>
      <w:r>
        <w:t xml:space="preserve">(3) Die wahlberechtigte Person hat auf dem Stimmzettel den Namen der Bewerberin oder des Bewerbers anzukreuzen, für die oder den sie die Stimme abgeben will.</w:t>
      </w:r>
    </w:p>
    <w:p>
      <w:r>
        <w:t xml:space="preserve">(4) Gewählt ist die Bewerberin oder der Bewerber, die oder der die meisten Stimmen erhält. Bei gleicher Stimmenzahl entscheidet das Los.</w:t>
      </w:r>
    </w:p>
    <w:p>
      <w:r>
        <w:rPr>
          <w:color w:val="555555"/>
          <w:sz w:val="17"/>
        </w:rPr>
        <w:t xml:space="preserve">Zitiervorschlag: § 43 RiWO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https://recht.nulegal.eu/gesetze/RiWO/43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