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RiWO (Brandenburg) — Behandlung der Wahlvorschläge durch den Wahlvorstand, ungültige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vermerkt auf den Wahlvorschlägen das Datum und die Uhrzeit des Eingangs. Im Fall des § 7 Absatz 3 ist auch der Zeitpunkt des Eingangs des berichtigten Wahlvorschlages zu vermerken.</w:t>
      </w:r>
    </w:p>
    <w:p>
      <w:r>
        <w:t xml:space="preserve">(2) Der Wahlvorstand hat eine Bewerberin oder einen Bewerber, die oder der mit ihrer oder seiner schriftlichen Zustimmung auf mehreren Wahlvorschlägen benannt ist, aufzufordern, innerhalb von drei Werktagen zu erklären, auf welchem Wahlvorschlag sie oder er benannt bleiben will. Wird diese Erklärung nicht fristgerecht abgegeben, so wird die Bewerberin oder der Bewerber von sämtlichen Wahlvorschlägen gestrichen.</w:t>
      </w:r>
    </w:p>
    <w:p>
      <w:r>
        <w:rPr>
          <w:color w:val="555555"/>
          <w:sz w:val="17"/>
        </w:rPr>
        <w:t xml:space="preserve">Zitiervorschlag: § 38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