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RiWO (Brandenburg) — Wahlvorstand</w:t>
      </w:r>
    </w:p>
    <w:p>
      <w:r>
        <w:rPr>
          <w:color w:val="555555"/>
          <w:sz w:val="18"/>
        </w:rPr>
        <w:t xml:space="preserve">Wahlordnung zum Brandenburgischen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Wahl zur Vorschlagsliste für die ständigen Mitglieder des Richterwahlausschusses (§ 12 Absatz 1 Satz 1 Nummer 2 des Brandenburgischen Richtergesetzes) führt der Landeswahlvorstand durch. Die Wahl zur Vorschlagsliste für das nichtständige Mitglied des Richterwahlausschusses (§ 12 Absatz 1 Satz 2 des Brandenburgischen Richtergesetzes) führt der jeweilige Gesamtwahlvorstand durch.</w:t>
      </w:r>
    </w:p>
    <w:p>
      <w:r>
        <w:rPr>
          <w:color w:val="555555"/>
          <w:sz w:val="17"/>
        </w:rPr>
        <w:t xml:space="preserve">Zitiervorschlag: § 22 RiWO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https://recht.nulegal.eu/gesetze/RiWO/22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