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RiWG</w:t>
      </w:r>
    </w:p>
    <w:p>
      <w:r>
        <w:rPr>
          <w:color w:val="555555"/>
          <w:sz w:val="18"/>
        </w:rPr>
        <w:t xml:space="preserve">Richterwahlgesetz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zuständige Bundesminister oder sein Vertreter in der Bundesregierung führt den Vorsitz. Er hat kein Stimmrecht.</w:t>
      </w:r>
    </w:p>
    <w:p>
      <w:r>
        <w:t xml:space="preserve">(2) Die Sitzungen sind nicht öffentlich.</w:t>
      </w:r>
    </w:p>
    <w:p>
      <w:r>
        <w:t xml:space="preserve">(3) Über jede Sitzung wird eine Niederschrift gefertigt.</w:t>
      </w:r>
    </w:p>
    <w:p>
      <w:r>
        <w:rPr>
          <w:color w:val="555555"/>
          <w:sz w:val="17"/>
        </w:rPr>
        <w:t xml:space="preserve">Zitiervorschlag: § 9 RiWG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https://recht.nulegal.eu/gesetze/RiWG/9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