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RiWG</w:t>
      </w:r>
    </w:p>
    <w:p>
      <w:r>
        <w:rPr>
          <w:color w:val="555555"/>
          <w:sz w:val="18"/>
        </w:rPr>
        <w:t xml:space="preserve">Richterwahlgesetz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Bundesminister der Justiz und für Verbraucherschutz beruft den Richterwahlausschuß ein.</w:t>
      </w:r>
    </w:p>
    <w:p>
      <w:r>
        <w:t xml:space="preserve">(2) Die Einladung muß die Tagesordnung für die Sitzung des Richterwahlausschusses enthalten und den Mitgliedern mindestens eine Woche vor der Sitzung zugehen.</w:t>
      </w:r>
    </w:p>
    <w:p>
      <w:r>
        <w:rPr>
          <w:color w:val="555555"/>
          <w:sz w:val="17"/>
        </w:rPr>
        <w:t xml:space="preserve">Zitiervorschlag: § 8 RiWG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