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Bundesminister der Justiz und für Verbraucherschutz verpflichtet die Mitglieder des Richterwahlausschusses und ihre Stellvertreter durch Handschlag auf gewissenhafte Pflichterfüllung.</w:t>
      </w:r>
    </w:p>
    <w:p>
      <w:r>
        <w:t xml:space="preserve">(2) Die Mitglieder sind zur Verschwiegenheit verpflichtet. Die Genehmigung zur Aussage in gerichtlichen Verfahren erteilt der Bundesminister der Justiz und für Verbraucherschutz.</w:t>
      </w:r>
    </w:p>
    <w:p>
      <w:r>
        <w:rPr>
          <w:color w:val="555555"/>
          <w:sz w:val="17"/>
        </w:rPr>
        <w:t xml:space="preserve">Zitiervorschlag: § 6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