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RiWG</w:t>
      </w:r>
    </w:p>
    <w:p>
      <w:r>
        <w:rPr>
          <w:color w:val="555555"/>
          <w:sz w:val="18"/>
        </w:rPr>
        <w:t xml:space="preserve">Richterwahlgesetz</w:t>
      </w:r>
    </w:p>
    <w:p>
      <w:r>
        <w:rPr>
          <w:color w:val="555555"/>
          <w:sz w:val="18"/>
        </w:rPr>
        <w:t xml:space="preserve">Stand: 10.06.2019 (konsolidierte Textfassung, kein amtliches Inkrafttretensdatum)</w:t>
      </w:r>
    </w:p>
    <w:p>
      <w:r>
        <w:t xml:space="preserve">(1) Die Mitglieder kraft Wahl und ihre Stellvertreter beruft der Bundestag nach den Regeln der Verhältniswahl.</w:t>
      </w:r>
    </w:p>
    <w:p>
      <w:r>
        <w:t xml:space="preserve">(2) Jede Fraktion kann einen Vorschlag einbringen. Aus den Summen der für jeden Vorschlag abgegebenen Stimmen wird nach dem Höchstzahlverfahren (d'Hondt) die Zahl der auf jeden Vorschlag gewählten Mitglieder errechnet. Gewählt sind die Mitglieder und ihre Stellvertreter in der Reihenfolge, in der ihr Name auf dem Vorschlag erscheint.</w:t>
      </w:r>
    </w:p>
    <w:p>
      <w:r>
        <w:t xml:space="preserve">(3) Scheidet ein Mitglied aus, so wird sein Stellvertreter Mitglied. Scheidet ein Stellvertreter aus, so wird er durch den nächsten aus der Reihe der nicht mehr Gewählten ersetzt.</w:t>
      </w:r>
    </w:p>
    <w:p>
      <w:r>
        <w:t xml:space="preserve">(4) Mitgliedschaft und Stellvertretung enden durch Neuwahl oder durch Verzicht, der schriftlich dem Bundesminister der Justiz und für Verbraucherschutz zu erklären ist.</w:t>
      </w:r>
    </w:p>
    <w:p>
      <w:r>
        <w:t xml:space="preserve">(5) Jeder neu gewählte Bundestag nimmt eine Neuwahl vor.</w:t>
      </w:r>
    </w:p>
    <w:p>
      <w:r>
        <w:rPr>
          <w:color w:val="555555"/>
          <w:sz w:val="17"/>
        </w:rPr>
        <w:t xml:space="preserve">Zitiervorschlag: § 5 RiWG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