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RiWG</w:t>
      </w:r>
    </w:p>
    <w:p>
      <w:r>
        <w:rPr>
          <w:color w:val="555555"/>
          <w:sz w:val="18"/>
        </w:rPr>
        <w:t xml:space="preserve">Richterwahlgesetz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Mitglieder kraft Wahl müssen zum Bundestag wählbar und im Rechtsleben erfahren sein.</w:t>
      </w:r>
    </w:p>
    <w:p>
      <w:r>
        <w:t xml:space="preserve">(2) Verändert sich die Zahl der Mitglieder kraft Amtes, so verändert sich die Zahl der Mitglieder kraft Wahl entsprechend. Ihre Neuwahl ist notwendig.</w:t>
      </w:r>
    </w:p>
    <w:p>
      <w:r>
        <w:t xml:space="preserve">(3) Jedes dieser Mitglieder kann sich durch seinen Stellvertreter vertreten lassen.</w:t>
      </w:r>
    </w:p>
    <w:p>
      <w:r>
        <w:rPr>
          <w:color w:val="555555"/>
          <w:sz w:val="17"/>
        </w:rPr>
        <w:t xml:space="preserve">Zitiervorschlag: § 4 RiWG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https://recht.nulegal.eu/gesetze/RiWG/4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