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RiWG</w:t>
      </w:r>
    </w:p>
    <w:p>
      <w:r>
        <w:rPr>
          <w:color w:val="555555"/>
          <w:sz w:val="18"/>
        </w:rPr>
        <w:t xml:space="preserve">Richterwahlgesetz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Mitglieder kraft Amtes im Ausschuß, der die Richter eines obersten Gerichtshofs wählt, sind die Landesminister, zu deren Geschäftsbereich die diesem obersten Gerichtshof im Instanzenzug untergeordneten Gerichte des Landes gehören.</w:t>
      </w:r>
    </w:p>
    <w:p>
      <w:r>
        <w:t xml:space="preserve">(2) Sie können sich nur nach den gleichen Regeln vertreten lassen, die für ihre Vertretung in der Landesregierung gelten.</w:t>
      </w:r>
    </w:p>
    <w:p>
      <w:r>
        <w:t xml:space="preserve">(3) Für das Verfahren nach § 1 Absatz 3 regeln die Länder, welcher Landesminister Mitglied kraft Amtes ist.</w:t>
      </w:r>
    </w:p>
    <w:p>
      <w:r>
        <w:rPr>
          <w:color w:val="555555"/>
          <w:sz w:val="17"/>
        </w:rPr>
        <w:t xml:space="preserve">Zitiervorschlag: § 3 RiWG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