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RiWG</w:t>
      </w:r>
    </w:p>
    <w:p>
      <w:r>
        <w:rPr>
          <w:color w:val="555555"/>
          <w:sz w:val="18"/>
        </w:rPr>
        <w:t xml:space="preserve">Richterwahlgesetz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dem Tag nach der Verkündung in Kraft.</w:t>
      </w:r>
    </w:p>
    <w:p>
      <w:r>
        <w:rPr>
          <w:color w:val="555555"/>
          <w:sz w:val="17"/>
        </w:rPr>
        <w:t xml:space="preserve">Zitiervorschlag: § 15 RiWG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