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Richterwahlausschuß entscheidet in geheimer Abstimmung mit der Mehrheit der abgegebenen Stimmen.</w:t>
      </w:r>
    </w:p>
    <w:p>
      <w:r>
        <w:t xml:space="preserve">(2) Der Richterwahlausschuß ist beschlußfähig, wenn die Mehrzahl sowohl der Mitglieder kraft Amtes als auch der Mitglieder kraft Wahl anwesend ist.</w:t>
      </w:r>
    </w:p>
    <w:p>
      <w:r>
        <w:rPr>
          <w:color w:val="555555"/>
          <w:sz w:val="17"/>
        </w:rPr>
        <w:t xml:space="preserve">Zitiervorschlag: § 12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