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RiWG</w:t>
      </w:r>
    </w:p>
    <w:p>
      <w:r>
        <w:rPr>
          <w:color w:val="555555"/>
          <w:sz w:val="18"/>
        </w:rPr>
        <w:t xml:space="preserve">Richterwahlgesetz</w:t>
      </w:r>
    </w:p>
    <w:p>
      <w:r>
        <w:rPr>
          <w:color w:val="555555"/>
          <w:sz w:val="18"/>
        </w:rPr>
        <w:t xml:space="preserve">Stand: 10.06.2019 (konsolidierte Textfassung, kein amtliches Inkrafttretensdatum)</w:t>
      </w:r>
    </w:p>
    <w:p>
      <w:r>
        <w:t xml:space="preserve">(1) Die Richter der obersten Gerichtshöfe des Bundes werden von dem zuständigen Bundesminister gemeinsam mit dem Richterwahlausschuß berufen und vom Bundespräsidenten ernannt.</w:t>
      </w:r>
    </w:p>
    <w:p>
      <w:r>
        <w:t xml:space="preserve">(2) Bei der Berufung eines Richters an einen obersten Gerichtshof wirkt der für das jeweilige Sachgebiet zuständige Bundesminister mit.</w:t>
      </w:r>
    </w:p>
    <w:p>
      <w:r>
        <w:t xml:space="preserve">(3) Die von der Bundesregierung nach Artikel 253 des Vertrags über die Arbeitsweise der Europäischen Union (Gesetz vom 8. Oktober 2008 zum Vertrag von Lissabon vom 13. Dezember 2007, BGBl. 2008 II S. 1038) zur Ernennung zu Richtern und Generalanwälten des Gerichtshofs vorzuschlagenden Persönlichkeiten und die von der Bundesregierung nach Artikel 254 des Vertrags über die Arbeitsweise der Europäischen Union zur Ernennung zu Mitgliedern des Gerichts vorzuschlagenden Persönlichkeiten werden von der Bundesregierung im Einvernehmen mit dem Richterwahlausschuss benannt.</w:t>
      </w:r>
    </w:p>
    <w:p>
      <w:r>
        <w:rPr>
          <w:color w:val="555555"/>
          <w:sz w:val="17"/>
        </w:rPr>
        <w:t xml:space="preserve">Zitiervorschlag: § 1 RiWG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