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RiStABeurtVO (Sachsen)</w:t>
      </w:r>
    </w:p>
    <w:p>
      <w:r>
        <w:rPr>
          <w:color w:val="555555"/>
          <w:sz w:val="18"/>
        </w:rPr>
        <w:t xml:space="preserve">Richter- und Staatsanwaltsbeurteilungsverordnung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6 Absatz 3 des Sächsischen Richtergesetzes vom 4. Juli 2023 (SächsGVBl. S. 446, 451) auch in Verbindung mit den §§ 65 und 77 des Sächsischen Richtergesetzes , verordnet das Staatsministerium der Justiz und für Demokratie, Europa und Gleichstellung:</w:t>
      </w:r>
    </w:p>
    <w:p>
      <w:r>
        <w:rPr>
          <w:color w:val="555555"/>
          <w:sz w:val="17"/>
        </w:rPr>
        <w:t xml:space="preserve">Zitiervorschlag: Eingangsformel RiStABeurtVO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https://recht.nulegal.eu/gesetze/RiStABeurtVO/eingangsformel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