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RiStABeurtVO (Sachsen) — Geltungsbereich</w:t>
      </w:r>
    </w:p>
    <w:p>
      <w:r>
        <w:rPr>
          <w:color w:val="555555"/>
          <w:sz w:val="18"/>
        </w:rPr>
        <w:t xml:space="preserve">Richter- und Staatsanwaltsbeurteilungsverordnung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gilt für die dienstliche Beurteilung der Richterinnen und Richter sowie Staatsanwältinnen und Staatsanwälte.</w:t>
      </w:r>
    </w:p>
    <w:p>
      <w:r>
        <w:rPr>
          <w:color w:val="555555"/>
          <w:sz w:val="17"/>
        </w:rPr>
        <w:t xml:space="preserve">Zitiervorschlag: § 1 RiStABeurtVO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https://recht.nulegal.eu/gesetze/RiStABeurtVO/1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