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RiNV (Brandenburg) — Vergütungen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für Landesbeamte geltenden Vorschriften über die</w:t>
      </w:r>
    </w:p>
    <w:p>
      <w:r>
        <w:t xml:space="preserve">Vergütung für eine Nebentätigkeit und über die Abrechnung</w:t>
      </w:r>
    </w:p>
    <w:p>
      <w:r>
        <w:t xml:space="preserve">und Ablieferung der Vergütung sowie über die Genehmigungspflicht</w:t>
      </w:r>
    </w:p>
    <w:p>
      <w:r>
        <w:t xml:space="preserve">für die Inanspruchnahme von Einrichtungen, Personal oder Material des</w:t>
      </w:r>
    </w:p>
    <w:p>
      <w:r>
        <w:t xml:space="preserve">Dienstherrn bei Ausübung einer Nebentätigkeit und die Entrichtung</w:t>
      </w:r>
    </w:p>
    <w:p>
      <w:r>
        <w:t xml:space="preserve">eines Entgeltes sind entsprechend anzuwenden.</w:t>
      </w:r>
    </w:p>
    <w:p>
      <w:r>
        <w:t xml:space="preserve">(2) Für eine richterliche Nebentätigkeit bei einem Gericht des</w:t>
      </w:r>
    </w:p>
    <w:p>
      <w:r>
        <w:t xml:space="preserve">Landes darf eine Vergütung nur auf Grund eines Gesetzes gewährt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9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