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RiNV (Brandenburg) — Aufstellung über Nebeneinnahmen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Richter hat am Jahresende der Genehmigungsbehörde eine Aufstellung</w:t>
      </w:r>
    </w:p>
    <w:p>
      <w:r>
        <w:t xml:space="preserve">über alle im Kalenderjahr erhaltenen Vergütungen aus</w:t>
      </w:r>
    </w:p>
    <w:p>
      <w:r>
        <w:t xml:space="preserve">Nebentätigkeiten im öffentlichen Dienst und außerhalb des</w:t>
      </w:r>
    </w:p>
    <w:p>
      <w:r>
        <w:t xml:space="preserve">öffentlichen Dienstes vorzulegen, wenn sie insgesamt 1.200 Euro</w:t>
      </w:r>
    </w:p>
    <w:p>
      <w:r>
        <w:t xml:space="preserve">übersteigen. Dies gilt nicht für Nebentätigkeiten nach § 32</w:t>
      </w:r>
    </w:p>
    <w:p>
      <w:r>
        <w:t xml:space="preserve">Abs. 1 Nr. 2 und 5 des Landesbeamtengesetzes.</w:t>
      </w:r>
    </w:p>
    <w:p>
      <w:r>
        <w:rPr>
          <w:color w:val="555555"/>
          <w:sz w:val="17"/>
        </w:rPr>
        <w:t xml:space="preserve">Zitiervorschlag: § 8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