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RiNV (Brandenburg) — Verfahren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den Antrag auf Genehmigung einer Nebentätigkeit,</w:t>
      </w:r>
    </w:p>
    <w:p>
      <w:r>
        <w:t xml:space="preserve">über den Widerruf der Genehmigung und über die Untersagung einer als</w:t>
      </w:r>
    </w:p>
    <w:p>
      <w:r>
        <w:t xml:space="preserve">genehmigt geltenden Nebentätigkeit entscheidet die oberste</w:t>
      </w:r>
    </w:p>
    <w:p>
      <w:r>
        <w:t xml:space="preserve">Dienstbehörde. Sie kann die Befugnis auf nachgeordnete Behörden</w:t>
      </w:r>
    </w:p>
    <w:p>
      <w:r>
        <w:t xml:space="preserve">übertragen.</w:t>
      </w:r>
    </w:p>
    <w:p>
      <w:r>
        <w:t xml:space="preserve">(2) Der Antrag ist mit den für die Entscheidung der Dienstbehörde</w:t>
      </w:r>
    </w:p>
    <w:p>
      <w:r>
        <w:t xml:space="preserve">notwendigen Angaben zu versehen. Insbesondere sind Gegenstand, Art und Umfang</w:t>
      </w:r>
    </w:p>
    <w:p>
      <w:r>
        <w:t xml:space="preserve">der Nebentätigkeit umfassend darzustellen und die Höhe der zu</w:t>
      </w:r>
    </w:p>
    <w:p>
      <w:r>
        <w:t xml:space="preserve">erwartenden Vergütung anzugeben.</w:t>
      </w:r>
    </w:p>
    <w:p>
      <w:r>
        <w:t xml:space="preserve">(3) Wird die Genehmigung widerrufen oder die Ausübung der</w:t>
      </w:r>
    </w:p>
    <w:p>
      <w:r>
        <w:t xml:space="preserve">Nebentätigkeit untersagt, so soll dem Richter eine nach den Umständen</w:t>
      </w:r>
    </w:p>
    <w:p>
      <w:r>
        <w:t xml:space="preserve">angemessene Frist zur Abwicklung der Nebentätigkeit eingeräumt</w:t>
      </w:r>
    </w:p>
    <w:p>
      <w:r>
        <w:t xml:space="preserve">werden, soweit die dienstlichen Interessen dies gestatten.</w:t>
      </w:r>
    </w:p>
    <w:p>
      <w:r>
        <w:t xml:space="preserve">(4) Unbeschadet der Anzeigepflichten für Nebentätigkeiten, die</w:t>
      </w:r>
    </w:p>
    <w:p>
      <w:r>
        <w:t xml:space="preserve">sich aus den für Landesbeamte geltenden Vorschriften ergeben, sind</w:t>
      </w:r>
    </w:p>
    <w:p>
      <w:r>
        <w:t xml:space="preserve">Nebentätigkeiten, die nach § 4 als allgemein genehmigt gelten, der</w:t>
      </w:r>
    </w:p>
    <w:p>
      <w:r>
        <w:t xml:space="preserve">Genehmigungsbehörde anzuzeigen.</w:t>
      </w:r>
    </w:p>
    <w:p>
      <w:r>
        <w:rPr>
          <w:color w:val="555555"/>
          <w:sz w:val="17"/>
        </w:rPr>
        <w:t xml:space="preserve">Zitiervorschlag: § 7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