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RiNV (Brandenburg) — Abgeordnete Richter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Richter, die an eine Verwaltungsbehörde oder zur</w:t>
      </w:r>
    </w:p>
    <w:p>
      <w:r>
        <w:t xml:space="preserve">Wahrnehmung einer nichtrichterlichen Tätigkeit an ein Gericht abgeordnet</w:t>
      </w:r>
    </w:p>
    <w:p>
      <w:r>
        <w:t xml:space="preserve">sind, gelten für die Dauer der Abordnung die Vorschriften über die</w:t>
      </w:r>
    </w:p>
    <w:p>
      <w:r>
        <w:t xml:space="preserve">Nebentätigkeit der Beamten. Jedoch darf dem Richter während der</w:t>
      </w:r>
    </w:p>
    <w:p>
      <w:r>
        <w:t xml:space="preserve">Abordnung eine Tätigkeit als Schiedsrichter, Schiedsgutachter oder</w:t>
      </w:r>
    </w:p>
    <w:p>
      <w:r>
        <w:t xml:space="preserve">Schlichter, die Erstattung von Rechtsgutachten oder die Erteilung von</w:t>
      </w:r>
    </w:p>
    <w:p>
      <w:r>
        <w:t xml:space="preserve">Rechtsauskünften nur nach Maßgabe der §§ 40 und 41 des</w:t>
      </w:r>
    </w:p>
    <w:p>
      <w:r>
        <w:t xml:space="preserve">Deutschen Richtergesetzes genehmigt werden.</w:t>
      </w:r>
    </w:p>
    <w:p>
      <w:r>
        <w:t xml:space="preserve">(2) Nebentätigkeiten, zu denen der Richter während der Abordnung</w:t>
      </w:r>
    </w:p>
    <w:p>
      <w:r>
        <w:t xml:space="preserve">herangezogen worden ist, dürfen nach Beendigung der Abordnung nicht mehr</w:t>
      </w:r>
    </w:p>
    <w:p>
      <w:r>
        <w:t xml:space="preserve">ausgeübt werden, wenn sie nach § 4 des Deutschen Richtergesetzes mit</w:t>
      </w:r>
    </w:p>
    <w:p>
      <w:r>
        <w:t xml:space="preserve">dem Richteramt unvereinbar sind. Genehmigungen für die Ausübung</w:t>
      </w:r>
    </w:p>
    <w:p>
      <w:r>
        <w:t xml:space="preserve">solcher Nebentätigkeiten sind zu widerrufen, die Ausübung der als</w:t>
      </w:r>
    </w:p>
    <w:p>
      <w:r>
        <w:t xml:space="preserve">genehmigt geltenden Nebentätigkeit ist zu untersagen.</w:t>
      </w:r>
    </w:p>
    <w:p>
      <w:r>
        <w:rPr>
          <w:color w:val="555555"/>
          <w:sz w:val="17"/>
        </w:rPr>
        <w:t xml:space="preserve">Zitiervorschlag: § 6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