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RiNV (Brandenburg) — Versagung der Genehmigung</w:t>
      </w:r>
    </w:p>
    <w:p>
      <w:r>
        <w:rPr>
          <w:color w:val="555555"/>
          <w:sz w:val="18"/>
        </w:rPr>
        <w:t xml:space="preserve">Richternebentätigkeitsverordnung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Genehmigung für eine Nebentätigkeit ist zu versagen, wenn</w:t>
      </w:r>
    </w:p>
    <w:p>
      <w:r>
        <w:t xml:space="preserve">der Richter sie nach den §§ 4, 39, 40 oder 41 des Deutschen</w:t>
      </w:r>
    </w:p>
    <w:p>
      <w:r>
        <w:t xml:space="preserve">Richtergesetzes nicht wahrnehmen darf oder ein sonstiger gesetzlicher</w:t>
      </w:r>
    </w:p>
    <w:p>
      <w:r>
        <w:t xml:space="preserve">Versagungsgrund vorliegt. Dies gilt insbesondere, wenn zu besorgen ist,</w:t>
      </w:r>
    </w:p>
    <w:p>
      <w:r>
        <w:t xml:space="preserve">daß die Nebentätigkeit</w:t>
      </w:r>
    </w:p>
    <w:p>
      <w:r>
        <w:t xml:space="preserve">das Vertrauen in die Unabhängigkeit, Unparteilichkeit oder</w:t>
      </w:r>
    </w:p>
    <w:p>
      <w:r>
        <w:t xml:space="preserve">Unbefangenheit des Richters gefährdet oder sonst mit dem Ansehen des</w:t>
      </w:r>
    </w:p>
    <w:p>
      <w:r>
        <w:t xml:space="preserve">Richterstandes oder mit dem Wohle der Allgemeinheit unvereinbar ist,</w:t>
      </w:r>
    </w:p>
    <w:p>
      <w:r>
        <w:t xml:space="preserve">die Arbeitskraft des Richters so stark in Anspruch nimmt, daß die</w:t>
      </w:r>
    </w:p>
    <w:p>
      <w:r>
        <w:t xml:space="preserve">ordnungsgemäße Erfüllung der richterlichen Pflichten</w:t>
      </w:r>
    </w:p>
    <w:p>
      <w:r>
        <w:t xml:space="preserve">beeinflußt wird, oder</w:t>
      </w:r>
    </w:p>
    <w:p>
      <w:r>
        <w:t xml:space="preserve">die Rechtspflege in anderer Weise beeinträchtigt.</w:t>
      </w:r>
    </w:p>
    <w:p>
      <w:r>
        <w:t xml:space="preserve">(2) Der Versagungsgrund des Absatzes 1 Satz 2 Buchstabe b liegt in der Regel</w:t>
      </w:r>
    </w:p>
    <w:p>
      <w:r>
        <w:t xml:space="preserve">vor, wenn die zeitliche Beanspruchung durch eine oder mehrere</w:t>
      </w:r>
    </w:p>
    <w:p>
      <w:r>
        <w:t xml:space="preserve">Nebentätigkeiten acht Wochenstunden im Jahresdurchschnitt</w:t>
      </w:r>
    </w:p>
    <w:p>
      <w:r>
        <w:t xml:space="preserve">überschreitet.</w:t>
      </w:r>
    </w:p>
    <w:p>
      <w:r>
        <w:rPr>
          <w:color w:val="555555"/>
          <w:sz w:val="17"/>
        </w:rPr>
        <w:t xml:space="preserve">Zitiervorschlag: § 5 RiNV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