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RiNV (Brandenburg) — Allgemeine Genehmigung von Nebentätigkeiten</w:t>
      </w:r>
    </w:p>
    <w:p>
      <w:r>
        <w:rPr>
          <w:color w:val="555555"/>
          <w:sz w:val="18"/>
        </w:rPr>
        <w:t xml:space="preserve">Richternebentätigkeitsverordnung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Genehmigung für eine oder mehrere Nebentätigkeiten gegen</w:t>
      </w:r>
    </w:p>
    <w:p>
      <w:r>
        <w:t xml:space="preserve">Vergütung außerhalb des öffentlichen Dienstes gilt allgemein</w:t>
      </w:r>
    </w:p>
    <w:p>
      <w:r>
        <w:t xml:space="preserve">als erteilt, wenn die Nebentätigkeiten insgesamt geringen Umfang haben und</w:t>
      </w:r>
    </w:p>
    <w:p>
      <w:r>
        <w:t xml:space="preserve">kein gesetzlicher Versagungsgrund vorliegt. Der Umfang einer oder mehrerer</w:t>
      </w:r>
    </w:p>
    <w:p>
      <w:r>
        <w:t xml:space="preserve">Nebentätigkeiten ist als gering anzusehen, solange die Vergütung</w:t>
      </w:r>
    </w:p>
    <w:p>
      <w:r>
        <w:t xml:space="preserve">hierfür insgesamt 2.400 Deutsche Mark im Jahr nicht übersteigt. Die</w:t>
      </w:r>
    </w:p>
    <w:p>
      <w:r>
        <w:t xml:space="preserve">Sätze 1 und 2 gelten auch für die Übernahme des Vorsitzes in</w:t>
      </w:r>
    </w:p>
    <w:p>
      <w:r>
        <w:t xml:space="preserve">Einigungsstellen nach dem Personalvertretungsrecht.</w:t>
      </w:r>
    </w:p>
    <w:p>
      <w:r>
        <w:t xml:space="preserve">(2) Eine als genehmigt geltende Nebentätigkeit ist zu untersagen, wenn</w:t>
      </w:r>
    </w:p>
    <w:p>
      <w:r>
        <w:t xml:space="preserve">Umstände eintreten oder bekannt werden, die nach § 5 die Versagung</w:t>
      </w:r>
    </w:p>
    <w:p>
      <w:r>
        <w:t xml:space="preserve">einer Genehmigung rechtfertigen würden.</w:t>
      </w:r>
    </w:p>
    <w:p>
      <w:r>
        <w:rPr>
          <w:color w:val="555555"/>
          <w:sz w:val="17"/>
        </w:rPr>
        <w:t xml:space="preserve">Zitiervorschlag: § 4 RiNV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