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RiNV (Brandenburg) — Nebentätigkeit im öffentlichen Dienst</w:t>
      </w:r>
    </w:p>
    <w:p>
      <w:r>
        <w:rPr>
          <w:color w:val="555555"/>
          <w:sz w:val="18"/>
        </w:rPr>
        <w:t xml:space="preserve">Richternebentätigkeitsverordnung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öffentlichen Dienst darf der Richter nur eine richterliche oder</w:t>
      </w:r>
    </w:p>
    <w:p>
      <w:r>
        <w:t xml:space="preserve">eine nach § 4 des Deutschen Richtergesetzes mit dem Richteramt vereinbare</w:t>
      </w:r>
    </w:p>
    <w:p>
      <w:r>
        <w:t xml:space="preserve">Nebentätigkeit wahrnehmen. Entsprechendes gilt für eine</w:t>
      </w:r>
    </w:p>
    <w:p>
      <w:r>
        <w:t xml:space="preserve">Tätigkeit, die der Nebentätigkeit im öffentlichen Dienst</w:t>
      </w:r>
    </w:p>
    <w:p>
      <w:r>
        <w:t xml:space="preserve">gleichsteht.</w:t>
      </w:r>
    </w:p>
    <w:p>
      <w:r>
        <w:t xml:space="preserve">(2) Welche Tätigkeiten als Nebentätigkeiten im öffentlichen</w:t>
      </w:r>
    </w:p>
    <w:p>
      <w:r>
        <w:t xml:space="preserve">Dienst anzusehen sind und ihnen gleichstehen, bestimmt sich nach den für</w:t>
      </w:r>
    </w:p>
    <w:p>
      <w:r>
        <w:t xml:space="preserve">Landesbeamte geltenden Vorschriften. Hierunter fällt eine</w:t>
      </w:r>
    </w:p>
    <w:p>
      <w:r>
        <w:t xml:space="preserve">Nebentätigkeit als Schiedsrichter oder Schiedsgutachter gemäß</w:t>
      </w:r>
    </w:p>
    <w:p>
      <w:r>
        <w:t xml:space="preserve">§ 40 des Deutschen Richtergesetzes jedoch dann nicht, wenn eine der</w:t>
      </w:r>
    </w:p>
    <w:p>
      <w:r>
        <w:t xml:space="preserve">Parteien des Schiedsvertrages, die den Schiedsrichter oder Schiedsgutachter</w:t>
      </w:r>
    </w:p>
    <w:p>
      <w:r>
        <w:t xml:space="preserve">beauftragt haben, nicht dem öffentlichen Dienst zuzurechnen ist.</w:t>
      </w:r>
    </w:p>
    <w:p>
      <w:r>
        <w:rPr>
          <w:color w:val="555555"/>
          <w:sz w:val="17"/>
        </w:rPr>
        <w:t xml:space="preserve">Zitiervorschlag: § 3 RiNV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