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RiNV (Brandenburg) — Grundsätze</w:t>
      </w:r>
    </w:p>
    <w:p>
      <w:r>
        <w:rPr>
          <w:color w:val="555555"/>
          <w:sz w:val="18"/>
        </w:rPr>
        <w:t xml:space="preserve">Richternebentätigkeitsverordnung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Richter darf eine Nebentätigkeit nur ausüben, wenn dadurch</w:t>
      </w:r>
    </w:p>
    <w:p>
      <w:r>
        <w:t xml:space="preserve">das Vertrauen in seine Unabhängigkeit, Unparteilichkeit oder</w:t>
      </w:r>
    </w:p>
    <w:p>
      <w:r>
        <w:t xml:space="preserve">Unbefangenheit nicht gefährdet wird.</w:t>
      </w:r>
    </w:p>
    <w:p>
      <w:r>
        <w:t xml:space="preserve">(2) Der Richter bedarf zur Ausübung jeder Nebentätigkeit der</w:t>
      </w:r>
    </w:p>
    <w:p>
      <w:r>
        <w:t xml:space="preserve">Genehmigung, sofern sich nicht aus den für Landesbeamte geltenden</w:t>
      </w:r>
    </w:p>
    <w:p>
      <w:r>
        <w:t xml:space="preserve">Vorschriften etwas anderes ergibt.</w:t>
      </w:r>
    </w:p>
    <w:p>
      <w:r>
        <w:rPr>
          <w:color w:val="555555"/>
          <w:sz w:val="17"/>
        </w:rPr>
        <w:t xml:space="preserve">Zitiervorschlag: § 2 RiNV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