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RiNV (Brandenburg) — Anwendungsbereich</w:t>
      </w:r>
    </w:p>
    <w:p>
      <w:r>
        <w:rPr>
          <w:color w:val="555555"/>
          <w:sz w:val="18"/>
        </w:rPr>
        <w:t xml:space="preserve">Richternebentätigkeitsverordnung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Diese Verordnung gilt für im Landesdienst tätige</w:t>
      </w:r>
    </w:p>
    <w:p>
      <w:r>
        <w:t xml:space="preserve">Berufsrichter. Sie gilt nicht für beamtete Professoren der Rechte oder der</w:t>
      </w:r>
    </w:p>
    <w:p>
      <w:r>
        <w:t xml:space="preserve">politischen Wissenschaften, die gleichzeitig Richter sind.</w:t>
      </w:r>
    </w:p>
    <w:p>
      <w:r>
        <w:t xml:space="preserve">(2) Die in dieser Verordnung verwendeten Funktions-, Status- und anderen</w:t>
      </w:r>
    </w:p>
    <w:p>
      <w:r>
        <w:t xml:space="preserve">Bezeichnungen gelten für Frauen und Männer.</w:t>
      </w:r>
    </w:p>
    <w:p>
      <w:r>
        <w:rPr>
          <w:color w:val="555555"/>
          <w:sz w:val="17"/>
        </w:rPr>
        <w:t xml:space="preserve">Zitiervorschlag: § 1 RiNV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https://recht.nulegal.eu/gesetze/RiNV/1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