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RiFoG (Nordrhein-Westfalen) — Zuweisung an das Sondervermögen</w:t>
      </w:r>
    </w:p>
    <w:p>
      <w:r>
        <w:rPr>
          <w:color w:val="555555"/>
          <w:sz w:val="18"/>
        </w:rPr>
        <w:t xml:space="preserve">Risikofondsgesetz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Sondervermögen werden aus dem Landeshaushalt die Einnahmen aus der Avalprovision für die vom Land zugunsten der Gläubiger der Phoenix Class B Schuldverschreibungen übernommene Garantie sowie weitere im Zusammenhang mit den in § 2 Absatz 1 genannten Garantien und der sonstigen Verlustausgleichspflicht entstehende Einnahmen zugewiesen.</w:t>
      </w:r>
    </w:p>
    <w:p>
      <w:r>
        <w:t xml:space="preserve">(2) Das Vermögen des Sondervermögens bildet sich aus den Zuweisungen gemäß Absatz 1 sowie den daraus erzielten Erträgen.</w:t>
      </w:r>
    </w:p>
    <w:p>
      <w:r>
        <w:rPr>
          <w:color w:val="555555"/>
          <w:sz w:val="17"/>
        </w:rPr>
        <w:t xml:space="preserve">Zitiervorschlag: § 4 RiFoG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https://recht.nulegal.eu/gesetze/RiFoG/4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