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RiFoG (Nordrhein-Westfalen) — Stellung im Rechtsverkehr</w:t>
      </w:r>
    </w:p>
    <w:p>
      <w:r>
        <w:rPr>
          <w:color w:val="555555"/>
          <w:sz w:val="18"/>
        </w:rPr>
        <w:t xml:space="preserve">Risikofondsgesetz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Sondervermögen ist teilrechtsfähig. Es kann unter seinem Namen im rechtsgeschäftlichen Verkehr handeln, klagen und verklagt werden. Das Sondervermögen wird durch das Finanzministerium des Landes Nordrhein-Westfalen vertreten. Der allgemeine Gerichtsstand des Sondervermögens ist Düsseldorf.</w:t>
      </w:r>
    </w:p>
    <w:p>
      <w:r>
        <w:t xml:space="preserve">(2) Das Land Nordrhein-Westfalen haftet unmittelbar für die Verbindlichkeiten des Sondervermögens; dieses haftet nicht für die sonstigen Verbindlichkeiten des Landes.</w:t>
      </w:r>
    </w:p>
    <w:p>
      <w:r>
        <w:rPr>
          <w:color w:val="555555"/>
          <w:sz w:val="17"/>
        </w:rPr>
        <w:t xml:space="preserve">Zitiervorschlag: § 3 RiFoG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https://recht.nulegal.eu/gesetze/RiFoG/3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