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RiFlEtikettG — Außenverkehr</w:t>
      </w:r>
    </w:p>
    <w:p>
      <w:r>
        <w:rPr>
          <w:color w:val="555555"/>
          <w:sz w:val="18"/>
        </w:rPr>
        <w:t xml:space="preserve">Rindfleischetikettierungsgesetz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Verkehr mit den zuständigen Behörden anderer Mitgliedstaaten und der Europäischen Kommission obliegt dem Bundesministerium. Es kann diese Befugnis auf die Bundesanstalt für Landwirtschaft und Ernährung übertragen.</w:t>
      </w:r>
    </w:p>
    <w:p>
      <w:r>
        <w:rPr>
          <w:color w:val="555555"/>
          <w:sz w:val="17"/>
        </w:rPr>
        <w:t xml:space="preserve">Zitiervorschlag: § 7 RiFlEtikettG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https://recht.nulegal.eu/gesetze/RiFlEtikettG/7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