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RiFlEtikettG — Befugnisse</w:t>
      </w:r>
    </w:p>
    <w:p>
      <w:r>
        <w:rPr>
          <w:color w:val="555555"/>
          <w:sz w:val="18"/>
        </w:rPr>
        <w:t xml:space="preserve">Rindfleischetikettierungsgesetz</w:t>
      </w:r>
    </w:p>
    <w:p>
      <w:r>
        <w:rPr>
          <w:color w:val="555555"/>
          <w:sz w:val="18"/>
        </w:rPr>
        <w:t xml:space="preserve">Stand: 10.06.2019 (konsolidierte Textfassung, kein amtliches Inkrafttretensdatum)</w:t>
      </w:r>
    </w:p>
    <w:p>
      <w:r>
        <w:t xml:space="preserve">(1) Die Bundesanstalt für Landwirtschaft und Ernährung ordnet für den Fall, dass die Rindfleischetikettierung sowie die Verkehrsbezeichnung oder Kennzeichnung von Fleisch von weniger als zwölf Monate alten Rindern den Vorgaben der Rechtsakte der Europäischen Gemeinschaft oder der Europäischen Union im Anwendungsbereich des § 1 Abs. 1 dieses Gesetzes oder den auf Grund dieses Gesetzes erlassenen Rechtsverordnungen nicht entspricht, die Maßnahmen an, die erforderlich sind, um Verstößen zu begegnen. Insbesondere kann angeordnet werden, dass nicht oder fehlerhaft etikettiertes Rindfleisch oder Rindfleischerzeugnisse oder nicht oder fehlerhaft gekennzeichnetes Fleisch von weniger als zwölf Monate alten Rindern nicht in den Verkehr gebracht werden dürfen, bis ordnungsgemäß neu etikettiert oder gekennzeichnet worden ist.</w:t>
      </w:r>
    </w:p>
    <w:p>
      <w:r>
        <w:t xml:space="preserve">(2) Soweit es zur Überwachung nach § 4 erforderlich ist, darf die Bundesanstalt für Landwirtschaft und Ernährung bei Betrieben, die Fleisch, genießbare Schlachtnebenerzeugnisse, Zubereitungen von Fleisch oder Zubereitungen von genießbaren Schlachtnebenerzeugnissen in den Verkehr bringen, während der Geschäfts- und Betriebszeit</w:t>
      </w:r>
    </w:p>
    <w:p>
      <w:pPr>
        <w:ind w:left="420"/>
      </w:pPr>
      <w:r>
        <w:t xml:space="preserve">1. Geschäftsräume und Grundstücke, Verkaufseinrichtungen und Transportmittel betreten und dort Besichtigungen vornehmen,</w:t>
      </w:r>
    </w:p>
    <w:p>
      <w:pPr>
        <w:ind w:left="420"/>
      </w:pPr>
      <w:r>
        <w:t xml:space="preserve">2. Proben nach ihrer Auswahl zum Zwecke der Untersuchung gegen Empfangsbescheinigungen fordern oder entnehmen,</w:t>
      </w:r>
    </w:p>
    <w:p>
      <w:pPr>
        <w:ind w:left="420"/>
      </w:pPr>
      <w:r>
        <w:t xml:space="preserve">3. alle schriftlich oder elektronisch vorliegenden Geschäftsunterlagen einsehen, prüfen und verlangen, dass hieraus Abschriften, Auszüge, Ausdrucke oder Kopien angefertigt und überlassen werden oder</w:t>
      </w:r>
    </w:p>
    <w:p>
      <w:pPr>
        <w:ind w:left="420"/>
      </w:pPr>
      <w:r>
        <w:t xml:space="preserve">4. die erforderlichen Auskünfte verlangen.</w:t>
      </w:r>
    </w:p>
    <w:p>
      <w:r>
        <w:t xml:space="preserve">Diese Befugnisse erstrecken sich auch auf Betriebe, die Fleisch, genießbare Schlachtnebenerzeugnisse, Zubereitungen von Fleisch oder Zubereitungen von genießbaren Schlachtnebenerzeugnissen an öffentlichen Orten, insbesondere auf Märkten, Plätzen, Straßen oder im Umherziehen in den Verkehr bringen. Für die Probenahme gilt § 43 Abs. 1 Satz 2 und Abs. 2 bis 4 des Lebensmittel- und Futtermittelgesetzbuches entsprechend.</w:t>
      </w:r>
    </w:p>
    <w:p>
      <w:r>
        <w:t xml:space="preserve">(3) Inhaber und Leiter der Betriebe nach Absatz 2 sind verpflichtet,</w:t>
      </w:r>
    </w:p>
    <w:p>
      <w:pPr>
        <w:ind w:left="420"/>
      </w:pPr>
      <w:r>
        <w:t xml:space="preserve">1. das Betreten der Geschäftsräume und Grundstücke, Verkaufseinrichtungen und Transportmittel sowie die dort vorzunehmenden Besichtigungen nach Absatz 2 Satz 1 Nr. 1, die Entnahme der Proben nach Absatz 2 Satz 1 Nr. 2 und die Prüfung der Geschäftsunterlagen nach Absatz 2 Satz 1 Nr. 3 zu dulden,</w:t>
      </w:r>
    </w:p>
    <w:p>
      <w:pPr>
        <w:ind w:left="420"/>
      </w:pPr>
      <w:r>
        <w:t xml:space="preserve">2. bei Besichtigungen mitzuwirken, insbesondere auf Verlangen das zu besichtigende Fleisch, die zu besichtigenden genießbaren Schlachtnebenerzeugnisse, die zu besichtigenden Zubereitungen von Fleisch oder die zu besichtigenden Zubereitungen von genießbaren Schlachtnebenerzeugnissen selbst oder durch andere so vorzulegen, dass die Besichtigung ordnungsgemäß vorgenommen werden kann,</w:t>
      </w:r>
    </w:p>
    <w:p>
      <w:pPr>
        <w:ind w:left="420"/>
      </w:pPr>
      <w:r>
        <w:t xml:space="preserve">3. alle schriftlich oder elektronisch vorliegenden Geschäftsunterlagen vorzulegen und auf Verlangen der zuständigen Behörde Abschriften, Auszüge, Ausdrucke oder Kopien auf eigene Kosten anzufertigen und zu überlassen,</w:t>
      </w:r>
    </w:p>
    <w:p>
      <w:pPr>
        <w:ind w:left="420"/>
      </w:pPr>
      <w:r>
        <w:t xml:space="preserve">4. die Entnahme von Proben zu ermöglichen und</w:t>
      </w:r>
    </w:p>
    <w:p>
      <w:pPr>
        <w:ind w:left="420"/>
      </w:pPr>
      <w:r>
        <w:t xml:space="preserve">5. die erforderlichen Auskünfte zu erteilen.</w:t>
      </w:r>
    </w:p>
    <w:p>
      <w:r>
        <w:t xml:space="preserve">(4) Erfolgt die Überwachung bei der Einfuhr, so gelten die Absätze 2 und 3 entsprechend auch für Marktbeteiligte, die Fleisch, genießbare Schlachtnebenerzeugnisse, Zubereitungen von Fleisch oder Zubereitungen von genießbaren Schlachtnebenerzeugnissen einführen.</w:t>
      </w:r>
    </w:p>
    <w:p>
      <w:r>
        <w:t xml:space="preserve">(5) Der zur Erteilung einer Auskunft Verpflichtete kann die Auskunft auf solche Fragen verweigern, deren Beantwortung ihn selbst oder einen der in § 383 Abs. 1 Nr. 1 bis 3 der Zivilprozessordnung bezeichneten Angehörigen der Gefahr strafgerichtlicher Verfolgung oder eines Verfahrens nach dem Gesetz über Ordnungswidrigkeiten aussetzen würde.</w:t>
      </w:r>
    </w:p>
    <w:p>
      <w:r>
        <w:t xml:space="preserve">(6) Das Bundesministerium wird ermächtigt, im Einvernehmen mit den Bundesministerien für Wirtschaft und Energie und der Finanzen durch Rechtsverordnung mit Zustimmung des Bundesrates Maßnahmen, die erforderlich sind, um Verstößen gegen Rechtsakte der Europäischen Gemeinschaft oder der Europäischen Union im Anwendungsbereich des § 1 Abs. 1 zu begegnen, sowie das Verfahren der Überwachung von Fleisch, genießbaren Schlachtnebenerzeugnissen, Zubereitungen von Fleisch oder Zubereitungen von genießbaren Schlachtnebenerzeugnissen beim innerstaatlichen Handel, innergemeinschaftlichen Verbringen oder bei der Einfuhr zu regeln.</w:t>
      </w:r>
    </w:p>
    <w:p>
      <w:r>
        <w:rPr>
          <w:color w:val="555555"/>
          <w:sz w:val="17"/>
        </w:rPr>
        <w:t xml:space="preserve">Zitiervorschlag: § 4a RiFlEtikettG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https://recht.nulegal.eu/gesetze/RiFlEtikettG/4a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